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center"/>
        <w:textAlignment w:val="auto"/>
        <w:rPr>
          <w:rFonts w:ascii="Times New Roman" w:hAnsi="方正小标宋简体" w:eastAsia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center"/>
        <w:textAlignment w:val="auto"/>
        <w:rPr>
          <w:rFonts w:ascii="Times New Roman" w:hAnsi="方正小标宋简体" w:eastAsia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center"/>
        <w:textAlignment w:val="auto"/>
        <w:rPr>
          <w:rFonts w:ascii="Times New Roman" w:hAns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Times New Roman" w:hAnsi="方正小标宋简体" w:eastAsia="方正小标宋简体"/>
          <w:sz w:val="44"/>
          <w:szCs w:val="44"/>
        </w:rPr>
        <w:t>靖江市人民政府关于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jc w:val="center"/>
        <w:textAlignment w:val="auto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方正小标宋简体" w:eastAsia="方正小标宋简体"/>
          <w:sz w:val="44"/>
          <w:szCs w:val="44"/>
        </w:rPr>
        <w:t>划定高排放机动车禁（限）行区域的通告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ascii="楷体_GB2312" w:hAnsi="方正楷体简体" w:eastAsia="楷体_GB2312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为进一步改善城市环境空气质量，保障人民群众身体健康，根据《中华人民共和国大气污染防治法》《江苏省大气污染防治条例》《江苏省机动车排气污染防治条例》等有关规定，市政府决定在本市行政区域内划定高排放机动车禁（限）行区域。现将有关事项通告如下：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　　</w:t>
      </w:r>
      <w:r>
        <w:rPr>
          <w:rFonts w:hint="eastAsia" w:ascii="黑体" w:hAnsi="黑体" w:eastAsia="黑体"/>
          <w:sz w:val="32"/>
          <w:szCs w:val="32"/>
        </w:rPr>
        <w:t>一、高排放机动车禁（限）行区域范围（见附件1）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（一）</w:t>
      </w:r>
      <w:r>
        <w:rPr>
          <w:rFonts w:ascii="仿宋_GB2312" w:eastAsia="仿宋_GB2312"/>
          <w:color w:val="333333"/>
          <w:sz w:val="32"/>
          <w:szCs w:val="32"/>
        </w:rPr>
        <w:t>高排放机动车</w:t>
      </w:r>
      <w:r>
        <w:rPr>
          <w:rFonts w:ascii="仿宋_GB2312" w:eastAsia="仿宋_GB2312"/>
          <w:color w:val="000000"/>
          <w:sz w:val="32"/>
          <w:szCs w:val="32"/>
        </w:rPr>
        <w:t>全天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24</w:t>
      </w:r>
      <w:r>
        <w:rPr>
          <w:rFonts w:ascii="仿宋_GB2312" w:eastAsia="仿宋_GB2312"/>
          <w:color w:val="000000"/>
          <w:sz w:val="32"/>
          <w:szCs w:val="32"/>
        </w:rPr>
        <w:t>小时</w:t>
      </w:r>
      <w:r>
        <w:rPr>
          <w:rFonts w:ascii="仿宋_GB2312" w:eastAsia="仿宋_GB2312"/>
          <w:color w:val="333333"/>
          <w:sz w:val="32"/>
          <w:szCs w:val="32"/>
        </w:rPr>
        <w:t>禁止进入</w:t>
      </w:r>
      <w:r>
        <w:rPr>
          <w:rFonts w:ascii="仿宋_GB2312" w:eastAsia="仿宋_GB2312"/>
          <w:color w:val="000000"/>
          <w:sz w:val="32"/>
          <w:szCs w:val="32"/>
        </w:rPr>
        <w:t>区域（红色区域）：</w:t>
      </w:r>
      <w:r>
        <w:rPr>
          <w:rFonts w:ascii="Times New Roman" w:hAnsi="Times New Roman" w:eastAsia="仿宋_GB2312"/>
          <w:sz w:val="32"/>
          <w:szCs w:val="32"/>
        </w:rPr>
        <w:t>环城路（不含</w:t>
      </w:r>
      <w:r>
        <w:rPr>
          <w:rFonts w:ascii="Times New Roman" w:hAnsi="Times New Roman" w:eastAsia="仿宋_GB2312"/>
          <w:color w:val="000000" w:themeColor="text1"/>
          <w:sz w:val="32"/>
          <w:szCs w:val="32"/>
        </w:rPr>
        <w:t>兴业路口以西经江平路、骥江西路、广靖线至人民北路路口路段</w:t>
      </w:r>
      <w:r>
        <w:rPr>
          <w:rFonts w:ascii="Times New Roman" w:hAnsi="Times New Roman" w:eastAsia="仿宋_GB2312"/>
          <w:sz w:val="32"/>
          <w:szCs w:val="32"/>
        </w:rPr>
        <w:t>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所合</w:t>
      </w:r>
      <w:r>
        <w:rPr>
          <w:rFonts w:hint="eastAsia" w:ascii="Times New Roman" w:hAnsi="Times New Roman" w:eastAsia="仿宋_GB2312"/>
          <w:sz w:val="32"/>
          <w:szCs w:val="32"/>
        </w:rPr>
        <w:t>区域。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（二）高排放机动车限时进入</w:t>
      </w:r>
      <w:r>
        <w:rPr>
          <w:rFonts w:ascii="Times New Roman" w:hAnsi="Times New Roman" w:eastAsia="仿宋_GB2312"/>
          <w:sz w:val="32"/>
          <w:szCs w:val="32"/>
        </w:rPr>
        <w:t>区域（蓝色区域）</w:t>
      </w:r>
      <w:r>
        <w:rPr>
          <w:rFonts w:hint="eastAsia" w:ascii="Times New Roman" w:hAnsi="Times New Roman" w:eastAsia="仿宋_GB2312"/>
          <w:sz w:val="32"/>
          <w:szCs w:val="32"/>
        </w:rPr>
        <w:t>：北二环（不含）—城西大道（不含）—江平路（不含）—西环南路（不含）—南环西路（不含）—兴业路（不含）—公新公路（不含）—新洲路（含）—通江路（含）—沿江公路（不含）—站前路（不含）—木金路（不含）—城东大道（含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所</w:t>
      </w:r>
      <w:r>
        <w:rPr>
          <w:rFonts w:hint="eastAsia" w:ascii="Times New Roman" w:hAnsi="Times New Roman" w:eastAsia="仿宋_GB2312"/>
          <w:sz w:val="32"/>
          <w:szCs w:val="32"/>
        </w:rPr>
        <w:t>合区域，每日16</w:t>
      </w:r>
      <w:r>
        <w:rPr>
          <w:rFonts w:ascii="Times New Roman" w:hAnsi="Times New Roman" w:eastAsia="仿宋_GB2312"/>
          <w:sz w:val="32"/>
          <w:szCs w:val="32"/>
        </w:rPr>
        <w:t>时</w:t>
      </w:r>
      <w:r>
        <w:rPr>
          <w:rFonts w:hint="eastAsia" w:ascii="Times New Roman" w:hAnsi="Times New Roman" w:eastAsia="仿宋_GB2312"/>
          <w:sz w:val="32"/>
          <w:szCs w:val="32"/>
        </w:rPr>
        <w:t>至次日8</w:t>
      </w:r>
      <w:r>
        <w:rPr>
          <w:rFonts w:ascii="Times New Roman" w:hAnsi="Times New Roman" w:eastAsia="仿宋_GB2312"/>
          <w:sz w:val="32"/>
          <w:szCs w:val="32"/>
        </w:rPr>
        <w:t>时禁止高排放机动车进入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spacing w:line="560" w:lineRule="exact"/>
        <w:ind w:firstLine="0"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二、高排放机动车认定标准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36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</w:t>
      </w:r>
      <w:r>
        <w:rPr>
          <w:rFonts w:ascii="Times New Roman" w:hAnsi="Times New Roman" w:eastAsia="仿宋_GB2312"/>
          <w:sz w:val="32"/>
          <w:szCs w:val="32"/>
        </w:rPr>
        <w:t>一</w:t>
      </w:r>
      <w:r>
        <w:rPr>
          <w:rFonts w:hint="eastAsia" w:ascii="Times New Roman" w:hAnsi="Times New Roman" w:eastAsia="仿宋_GB2312"/>
          <w:sz w:val="32"/>
          <w:szCs w:val="32"/>
        </w:rPr>
        <w:t>）</w:t>
      </w:r>
      <w:r>
        <w:rPr>
          <w:rFonts w:ascii="Times New Roman" w:hAnsi="Times New Roman" w:eastAsia="仿宋_GB2312"/>
          <w:sz w:val="32"/>
          <w:szCs w:val="32"/>
        </w:rPr>
        <w:t>注册登记满15年，</w:t>
      </w:r>
      <w:r>
        <w:rPr>
          <w:rFonts w:hint="eastAsia" w:ascii="Times New Roman" w:hAnsi="Times New Roman" w:eastAsia="仿宋_GB2312"/>
          <w:sz w:val="32"/>
          <w:szCs w:val="32"/>
        </w:rPr>
        <w:t>装用点燃式发动机（使用汽油燃料），排放标准为国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Ⅰ</w:t>
      </w:r>
      <w:r>
        <w:rPr>
          <w:rFonts w:hint="eastAsia" w:ascii="Times New Roman" w:hAnsi="Times New Roman" w:eastAsia="仿宋_GB2312"/>
          <w:sz w:val="32"/>
          <w:szCs w:val="32"/>
        </w:rPr>
        <w:t>、国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Ⅱ</w:t>
      </w:r>
      <w:r>
        <w:rPr>
          <w:rFonts w:hint="eastAsia" w:ascii="Times New Roman" w:hAnsi="Times New Roman" w:eastAsia="仿宋_GB2312"/>
          <w:sz w:val="32"/>
          <w:szCs w:val="32"/>
        </w:rPr>
        <w:t>标准的小、微型汽油车</w:t>
      </w:r>
      <w:r>
        <w:rPr>
          <w:rFonts w:ascii="Times New Roman" w:hAnsi="Times New Roman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36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</w:t>
      </w:r>
      <w:r>
        <w:rPr>
          <w:rFonts w:ascii="Times New Roman" w:hAnsi="Times New Roman" w:eastAsia="仿宋_GB2312"/>
          <w:sz w:val="32"/>
          <w:szCs w:val="32"/>
        </w:rPr>
        <w:t>二</w:t>
      </w:r>
      <w:r>
        <w:rPr>
          <w:rFonts w:hint="eastAsia" w:ascii="Times New Roman" w:hAnsi="Times New Roman" w:eastAsia="仿宋_GB2312"/>
          <w:sz w:val="32"/>
          <w:szCs w:val="32"/>
        </w:rPr>
        <w:t>）排放标准为国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Ⅲ</w:t>
      </w:r>
      <w:r>
        <w:rPr>
          <w:rFonts w:hint="eastAsia" w:ascii="Times New Roman" w:hAnsi="Times New Roman" w:eastAsia="仿宋_GB2312"/>
          <w:sz w:val="32"/>
          <w:szCs w:val="32"/>
        </w:rPr>
        <w:t>标准和低于国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Ⅲ</w:t>
      </w:r>
      <w:r>
        <w:rPr>
          <w:rFonts w:hint="eastAsia" w:ascii="Times New Roman" w:hAnsi="Times New Roman" w:eastAsia="仿宋_GB2312"/>
          <w:sz w:val="32"/>
          <w:szCs w:val="32"/>
        </w:rPr>
        <w:t>标准的以柴油作为动力的货车。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36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</w:t>
      </w:r>
      <w:r>
        <w:rPr>
          <w:rFonts w:ascii="Times New Roman" w:hAnsi="Times New Roman" w:eastAsia="仿宋_GB2312"/>
          <w:sz w:val="32"/>
          <w:szCs w:val="32"/>
        </w:rPr>
        <w:t>三</w:t>
      </w:r>
      <w:r>
        <w:rPr>
          <w:rFonts w:hint="eastAsia" w:ascii="Times New Roman" w:hAnsi="Times New Roman" w:eastAsia="仿宋_GB2312"/>
          <w:sz w:val="32"/>
          <w:szCs w:val="32"/>
        </w:rPr>
        <w:t>）</w:t>
      </w:r>
      <w:r>
        <w:rPr>
          <w:rFonts w:ascii="Times New Roman" w:hAnsi="Times New Roman" w:eastAsia="仿宋_GB2312"/>
          <w:sz w:val="32"/>
          <w:szCs w:val="32"/>
        </w:rPr>
        <w:t>按照车辆结构应当由农业机械管理部门核发牌、证的变型拖拉机及拖拉机运输机组。</w:t>
      </w:r>
    </w:p>
    <w:p>
      <w:pPr>
        <w:spacing w:line="560" w:lineRule="exact"/>
        <w:ind w:firstLine="6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三、高排放机动车</w:t>
      </w:r>
      <w:r>
        <w:rPr>
          <w:rFonts w:ascii="黑体" w:hAnsi="黑体" w:eastAsia="黑体"/>
          <w:sz w:val="32"/>
          <w:szCs w:val="32"/>
        </w:rPr>
        <w:t>禁（限）</w:t>
      </w:r>
      <w:r>
        <w:rPr>
          <w:rFonts w:hint="eastAsia" w:ascii="黑体" w:hAnsi="黑体" w:eastAsia="黑体"/>
          <w:sz w:val="32"/>
          <w:szCs w:val="32"/>
        </w:rPr>
        <w:t>行区域管理要求</w:t>
      </w:r>
    </w:p>
    <w:p>
      <w:pPr>
        <w:spacing w:line="560" w:lineRule="exact"/>
        <w:ind w:firstLine="660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1. 货运车辆（</w:t>
      </w:r>
      <w:r>
        <w:rPr>
          <w:rFonts w:ascii="Times New Roman" w:hAnsi="Times New Roman" w:eastAsia="仿宋_GB2312"/>
          <w:sz w:val="32"/>
          <w:szCs w:val="32"/>
        </w:rPr>
        <w:t>含专项作业车</w:t>
      </w:r>
      <w:r>
        <w:rPr>
          <w:rFonts w:hint="eastAsia" w:ascii="Times New Roman" w:hAnsi="Times New Roman" w:eastAsia="仿宋_GB2312"/>
          <w:sz w:val="32"/>
          <w:szCs w:val="32"/>
        </w:rPr>
        <w:t>）</w:t>
      </w:r>
      <w:r>
        <w:rPr>
          <w:rFonts w:ascii="Times New Roman" w:hAnsi="Times New Roman" w:eastAsia="仿宋_GB2312"/>
          <w:sz w:val="32"/>
          <w:szCs w:val="32"/>
        </w:rPr>
        <w:t>拟在</w:t>
      </w:r>
      <w:r>
        <w:rPr>
          <w:rFonts w:hint="eastAsia" w:ascii="Times New Roman" w:hAnsi="Times New Roman" w:eastAsia="仿宋_GB2312"/>
          <w:sz w:val="32"/>
          <w:szCs w:val="32"/>
        </w:rPr>
        <w:t>禁（限）</w:t>
      </w:r>
      <w:r>
        <w:rPr>
          <w:rFonts w:ascii="Times New Roman" w:hAnsi="Times New Roman" w:eastAsia="仿宋_GB2312"/>
          <w:sz w:val="32"/>
          <w:szCs w:val="32"/>
        </w:rPr>
        <w:t>行区域行驶的，</w:t>
      </w:r>
      <w:r>
        <w:rPr>
          <w:rFonts w:hint="eastAsia" w:ascii="Times New Roman" w:hAnsi="Times New Roman" w:eastAsia="仿宋_GB2312"/>
          <w:sz w:val="32"/>
          <w:szCs w:val="32"/>
        </w:rPr>
        <w:t>应当至</w:t>
      </w:r>
      <w:r>
        <w:rPr>
          <w:rFonts w:ascii="Times New Roman" w:hAnsi="Times New Roman" w:eastAsia="仿宋_GB2312"/>
          <w:sz w:val="32"/>
          <w:szCs w:val="32"/>
        </w:rPr>
        <w:t>公安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机关</w:t>
      </w:r>
      <w:r>
        <w:rPr>
          <w:rFonts w:ascii="Times New Roman" w:hAnsi="Times New Roman" w:eastAsia="仿宋_GB2312"/>
          <w:sz w:val="32"/>
          <w:szCs w:val="32"/>
        </w:rPr>
        <w:t>交通管理部门申领通行证，按照通行证指定线路通行。</w:t>
      </w:r>
    </w:p>
    <w:p>
      <w:pPr>
        <w:spacing w:line="560" w:lineRule="exact"/>
        <w:ind w:firstLine="660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  <w:szCs w:val="32"/>
        </w:rPr>
        <w:t>.</w:t>
      </w:r>
      <w:r>
        <w:rPr>
          <w:rFonts w:hint="eastAsia" w:ascii="Times New Roman" w:hAnsi="Times New Roman" w:eastAsia="仿宋_GB2312"/>
          <w:sz w:val="32"/>
          <w:szCs w:val="32"/>
        </w:rPr>
        <w:t>本通告规定的禁（限）</w:t>
      </w:r>
      <w:r>
        <w:rPr>
          <w:rFonts w:ascii="Times New Roman" w:hAnsi="Times New Roman" w:eastAsia="仿宋_GB2312"/>
          <w:sz w:val="32"/>
          <w:szCs w:val="32"/>
        </w:rPr>
        <w:t>行区域</w:t>
      </w:r>
      <w:r>
        <w:rPr>
          <w:rFonts w:hint="eastAsia" w:ascii="Times New Roman" w:hAnsi="Times New Roman" w:eastAsia="仿宋_GB2312"/>
          <w:sz w:val="32"/>
          <w:szCs w:val="32"/>
        </w:rPr>
        <w:t>设置交通标志（见附件2）后，驾驶人应当按照交通标志通行。车辆违规进入禁（限）</w:t>
      </w:r>
      <w:r>
        <w:rPr>
          <w:rFonts w:ascii="Times New Roman" w:hAnsi="Times New Roman" w:eastAsia="仿宋_GB2312"/>
          <w:sz w:val="32"/>
          <w:szCs w:val="32"/>
        </w:rPr>
        <w:t>行区域</w:t>
      </w:r>
      <w:r>
        <w:rPr>
          <w:rFonts w:hint="eastAsia" w:ascii="Times New Roman" w:hAnsi="Times New Roman" w:eastAsia="仿宋_GB2312"/>
          <w:sz w:val="32"/>
          <w:szCs w:val="32"/>
        </w:rPr>
        <w:t>的，由</w:t>
      </w:r>
      <w:r>
        <w:rPr>
          <w:rFonts w:ascii="Times New Roman" w:hAnsi="Times New Roman" w:eastAsia="仿宋_GB2312"/>
          <w:sz w:val="32"/>
          <w:szCs w:val="32"/>
        </w:rPr>
        <w:t>公安机关交通管理部门</w:t>
      </w:r>
      <w:r>
        <w:rPr>
          <w:rFonts w:hint="eastAsia" w:ascii="Times New Roman" w:hAnsi="Times New Roman" w:eastAsia="仿宋_GB2312"/>
          <w:sz w:val="32"/>
          <w:szCs w:val="32"/>
        </w:rPr>
        <w:t>根据《江苏省道路交通安全条例》第五十七条第（一）项之</w:t>
      </w:r>
      <w:r>
        <w:rPr>
          <w:rFonts w:ascii="Times New Roman" w:hAnsi="Times New Roman" w:eastAsia="仿宋_GB2312"/>
          <w:sz w:val="32"/>
          <w:szCs w:val="32"/>
        </w:rPr>
        <w:t>规定依法</w:t>
      </w:r>
      <w:r>
        <w:rPr>
          <w:rFonts w:hint="eastAsia" w:ascii="Times New Roman" w:hAnsi="Times New Roman" w:eastAsia="仿宋_GB2312"/>
          <w:sz w:val="32"/>
          <w:szCs w:val="32"/>
        </w:rPr>
        <w:t>查处</w:t>
      </w:r>
      <w:r>
        <w:rPr>
          <w:rFonts w:ascii="Times New Roman" w:hAnsi="Times New Roman" w:eastAsia="仿宋_GB2312"/>
          <w:sz w:val="32"/>
          <w:szCs w:val="32"/>
        </w:rPr>
        <w:t>。</w:t>
      </w:r>
      <w:r>
        <w:rPr>
          <w:rFonts w:hint="eastAsia" w:ascii="Times New Roman" w:hAnsi="Times New Roman" w:eastAsia="仿宋_GB2312"/>
          <w:sz w:val="32"/>
          <w:szCs w:val="32"/>
        </w:rPr>
        <w:t>本通告施行后的第一个月为禁（限）行措施过渡期，对过渡期内的违规行为，由公安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机关</w:t>
      </w:r>
      <w:r>
        <w:rPr>
          <w:rFonts w:hint="eastAsia" w:ascii="Times New Roman" w:hAnsi="Times New Roman" w:eastAsia="仿宋_GB2312"/>
          <w:sz w:val="32"/>
          <w:szCs w:val="32"/>
        </w:rPr>
        <w:t>交通管理部门进行批评教育，暂不实施处罚。过渡期届满后，违反交通禁令标志指示的，由公安机关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交通管理部门</w:t>
      </w:r>
      <w:r>
        <w:rPr>
          <w:rFonts w:hint="eastAsia" w:ascii="Times New Roman" w:hAnsi="Times New Roman" w:eastAsia="仿宋_GB2312"/>
          <w:sz w:val="32"/>
          <w:szCs w:val="32"/>
        </w:rPr>
        <w:t>正式对违规行为进行处罚。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60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3. </w:t>
      </w:r>
      <w:r>
        <w:rPr>
          <w:rFonts w:hint="eastAsia" w:ascii="仿宋_GB2312" w:hAnsi="Times New Roman" w:eastAsia="仿宋_GB2312"/>
          <w:sz w:val="32"/>
          <w:szCs w:val="32"/>
        </w:rPr>
        <w:t>军车(含武警车辆)、消防车、警车、校车、救护车、工程救险车</w:t>
      </w:r>
      <w:r>
        <w:rPr>
          <w:rFonts w:hint="eastAsia" w:ascii="Times New Roman" w:hAnsi="Times New Roman" w:eastAsia="仿宋_GB2312"/>
          <w:sz w:val="32"/>
          <w:szCs w:val="32"/>
        </w:rPr>
        <w:t>不受上述要求限制</w:t>
      </w:r>
      <w:r>
        <w:rPr>
          <w:rFonts w:hint="eastAsia" w:ascii="仿宋_GB2312" w:hAnsi="Times New Roman" w:eastAsia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60"/>
        <w:textAlignment w:val="auto"/>
        <w:rPr>
          <w:rFonts w:ascii="仿宋_GB2312" w:hAnsi="Times New Roman" w:eastAsia="仿宋_GB2312"/>
          <w:sz w:val="32"/>
          <w:szCs w:val="32"/>
        </w:rPr>
      </w:pPr>
      <w:r>
        <w:rPr>
          <w:rFonts w:hint="eastAsia" w:ascii="仿宋_GB2312" w:hAnsi="Times New Roman" w:eastAsia="仿宋_GB2312"/>
          <w:sz w:val="32"/>
          <w:szCs w:val="32"/>
        </w:rPr>
        <w:t>4.</w:t>
      </w:r>
      <w:r>
        <w:rPr>
          <w:rFonts w:hint="eastAsia" w:ascii="Times New Roman" w:hAnsi="Times New Roman" w:eastAsia="仿宋_GB2312"/>
          <w:sz w:val="32"/>
          <w:szCs w:val="32"/>
        </w:rPr>
        <w:t>本通告自2022年9月1日起施行。</w:t>
      </w:r>
    </w:p>
    <w:p>
      <w:pPr>
        <w:spacing w:line="560" w:lineRule="exact"/>
        <w:ind w:right="0"/>
        <w:rPr>
          <w:rFonts w:ascii="Times New Roman" w:hAnsi="黑体" w:eastAsia="黑体"/>
          <w:sz w:val="32"/>
          <w:szCs w:val="32"/>
        </w:rPr>
      </w:pPr>
    </w:p>
    <w:p>
      <w:pPr>
        <w:spacing w:line="560" w:lineRule="exact"/>
        <w:ind w:right="0"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附件：1. </w:t>
      </w:r>
      <w:r>
        <w:rPr>
          <w:rFonts w:hint="eastAsia" w:ascii="Times New Roman" w:hAnsi="Times New Roman" w:eastAsia="仿宋_GB2312"/>
          <w:sz w:val="32"/>
          <w:szCs w:val="32"/>
        </w:rPr>
        <w:t>高排放机动车禁（限）行区域</w:t>
      </w:r>
      <w:r>
        <w:rPr>
          <w:rFonts w:hint="eastAsia" w:ascii="仿宋_GB2312" w:hAnsi="黑体" w:eastAsia="仿宋_GB2312"/>
          <w:sz w:val="32"/>
          <w:szCs w:val="32"/>
        </w:rPr>
        <w:t>示意图</w:t>
      </w:r>
    </w:p>
    <w:p>
      <w:pPr>
        <w:spacing w:line="560" w:lineRule="exact"/>
        <w:ind w:right="0" w:firstLine="1600" w:firstLineChars="5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</w:t>
      </w:r>
      <w:r>
        <w:rPr>
          <w:rFonts w:hint="eastAsia" w:ascii="仿宋_GB2312" w:hAnsi="黑体" w:eastAsia="仿宋_GB2312"/>
          <w:sz w:val="32"/>
          <w:szCs w:val="32"/>
        </w:rPr>
        <w:t xml:space="preserve">. </w:t>
      </w:r>
      <w:r>
        <w:rPr>
          <w:rFonts w:hint="eastAsia" w:ascii="Times New Roman" w:hAnsi="Times New Roman" w:eastAsia="仿宋_GB2312"/>
          <w:sz w:val="32"/>
          <w:szCs w:val="32"/>
        </w:rPr>
        <w:t>高排放机动车禁（限）行区域交通标志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ascii="Times New Roman" w:hAnsi="Times New Roman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5120" w:firstLineChars="1600"/>
        <w:textAlignment w:val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靖江市人民政府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5120" w:firstLineChars="1600"/>
        <w:textAlignment w:val="auto"/>
        <w:rPr>
          <w:rFonts w:ascii="Times New Roman" w:hAnsi="黑体" w:eastAsia="黑体"/>
          <w:sz w:val="32"/>
          <w:szCs w:val="32"/>
        </w:rPr>
        <w:sectPr>
          <w:footerReference r:id="rId3" w:type="default"/>
          <w:pgSz w:w="11906" w:h="16838"/>
          <w:pgMar w:top="2098" w:right="1474" w:bottom="1985" w:left="1588" w:header="851" w:footer="1418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/>
          <w:sz w:val="32"/>
          <w:szCs w:val="32"/>
        </w:rPr>
        <w:t>2022年7月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29</w:t>
      </w:r>
      <w:r>
        <w:rPr>
          <w:rFonts w:hint="eastAsia" w:ascii="Times New Roman" w:hAnsi="Times New Roman" w:eastAsia="仿宋_GB2312"/>
          <w:sz w:val="32"/>
          <w:szCs w:val="32"/>
        </w:rPr>
        <w:t>日</w:t>
      </w:r>
    </w:p>
    <w:p>
      <w:pPr>
        <w:spacing w:line="520" w:lineRule="exact"/>
        <w:ind w:right="96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黑体" w:eastAsia="黑体"/>
          <w:sz w:val="32"/>
          <w:szCs w:val="32"/>
        </w:rPr>
        <w:t>附件1</w:t>
      </w:r>
    </w:p>
    <w:p>
      <w:pPr>
        <w:spacing w:line="600" w:lineRule="exact"/>
        <w:jc w:val="center"/>
        <w:rPr>
          <w:rFonts w:ascii="Times New Roman" w:hAnsi="方正小标宋简体" w:eastAsia="方正小标宋简体"/>
          <w:sz w:val="44"/>
          <w:szCs w:val="44"/>
        </w:rPr>
      </w:pPr>
    </w:p>
    <w:p>
      <w:pPr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方正小标宋简体" w:eastAsia="方正小标宋简体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750570</wp:posOffset>
            </wp:positionV>
            <wp:extent cx="4951095" cy="7432040"/>
            <wp:effectExtent l="19050" t="0" r="2159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841" cy="74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方正小标宋简体" w:eastAsia="方正小标宋简体"/>
          <w:sz w:val="44"/>
          <w:szCs w:val="44"/>
        </w:rPr>
        <w:t>高排放机动车禁（限）行区域示意图</w:t>
      </w:r>
    </w:p>
    <w:p>
      <w:pPr>
        <w:spacing w:line="60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  <w:sectPr>
          <w:pgSz w:w="11906" w:h="16838"/>
          <w:pgMar w:top="2098" w:right="1474" w:bottom="1985" w:left="1588" w:header="851" w:footer="1418" w:gutter="0"/>
          <w:pgNumType w:fmt="numberInDash"/>
          <w:cols w:space="425" w:num="1"/>
          <w:docGrid w:type="lines" w:linePitch="312" w:charSpace="0"/>
        </w:sectPr>
      </w:pPr>
    </w:p>
    <w:p>
      <w:pPr>
        <w:spacing w:line="520" w:lineRule="exact"/>
        <w:ind w:right="96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黑体" w:eastAsia="黑体"/>
          <w:sz w:val="32"/>
          <w:szCs w:val="32"/>
        </w:rPr>
        <w:t>附件2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</w:pPr>
    </w:p>
    <w:p>
      <w:pPr>
        <w:spacing w:line="56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高排放机动车禁（限）行区域交通标志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高排放车辆禁（限）行标志牌主标为国家规定的“禁止机动车通行”禁令标志，下面辅以“高排放车辆”等文字。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　　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292735</wp:posOffset>
            </wp:positionV>
            <wp:extent cx="2004695" cy="2216785"/>
            <wp:effectExtent l="0" t="0" r="14605" b="12065"/>
            <wp:wrapNone/>
            <wp:docPr id="2" name="图片 1" descr="http://www.chaozhou.gov.cn/img/0/33/33836/3677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www.chaozhou.gov.cn/img/0/33/33836/367784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>　　</w:t>
      </w:r>
    </w:p>
    <w:p>
      <w:pPr>
        <w:pStyle w:val="6"/>
        <w:shd w:val="clear" w:color="auto" w:fill="FFFFFF"/>
        <w:spacing w:before="0" w:beforeAutospacing="0" w:after="0" w:afterAutospacing="0" w:line="560" w:lineRule="exact"/>
        <w:jc w:val="both"/>
      </w:pPr>
    </w:p>
    <w:sectPr>
      <w:pgSz w:w="11906" w:h="16838"/>
      <w:pgMar w:top="2098" w:right="1474" w:bottom="1985" w:left="1588" w:header="851" w:footer="1418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1710449292"/>
                          </w:sdtPr>
                          <w:sdtEndPr>
                            <w:rPr>
                              <w:rFonts w:ascii="宋体" w:hAnsi="宋体"/>
                              <w:sz w:val="24"/>
                              <w:szCs w:val="24"/>
                            </w:rPr>
                          </w:sdtEndPr>
                          <w:sdtContent>
                            <w:p>
                              <w:pPr>
                                <w:pStyle w:val="4"/>
                                <w:jc w:val="center"/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  <w:t xml:space="preserve"> 5 -</w:t>
                              </w:r>
                              <w:r>
                                <w:rPr>
                                  <w:rFonts w:ascii="宋体" w:hAnsi="宋体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="宋体" w:hAnsi="宋体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U/VB8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710449292"/>
                    </w:sdtPr>
                    <w:sdtEndPr>
                      <w:rPr>
                        <w:rFonts w:ascii="宋体" w:hAnsi="宋体"/>
                        <w:sz w:val="24"/>
                        <w:szCs w:val="24"/>
                      </w:rPr>
                    </w:sdtEndPr>
                    <w:sdtContent>
                      <w:p>
                        <w:pPr>
                          <w:pStyle w:val="4"/>
                          <w:jc w:val="center"/>
                          <w:rPr>
                            <w:rFonts w:ascii="宋体" w:hAnsi="宋体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宋体" w:hAnsi="宋体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宋体" w:hAnsi="宋体"/>
                            <w:sz w:val="24"/>
                            <w:szCs w:val="24"/>
                          </w:rPr>
                          <w:instrText xml:space="preserve">PAGE   \* MERGEFORMAT</w:instrText>
                        </w:r>
                        <w:r>
                          <w:rPr>
                            <w:rFonts w:ascii="宋体" w:hAnsi="宋体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ascii="宋体" w:hAnsi="宋体"/>
                            <w:sz w:val="24"/>
                            <w:szCs w:val="24"/>
                            <w:lang w:val="zh-CN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 w:val="24"/>
                            <w:szCs w:val="24"/>
                          </w:rPr>
                          <w:t xml:space="preserve"> 5 -</w:t>
                        </w:r>
                        <w:r>
                          <w:rPr>
                            <w:rFonts w:ascii="宋体" w:hAnsi="宋体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ascii="宋体" w:hAnsi="宋体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NDkzMzM3OGJlOGM1MWJkNTQyODRkZTFjYTQwMDYifQ=="/>
  </w:docVars>
  <w:rsids>
    <w:rsidRoot w:val="00BE53A1"/>
    <w:rsid w:val="000714FB"/>
    <w:rsid w:val="00084741"/>
    <w:rsid w:val="000C6315"/>
    <w:rsid w:val="00131CA3"/>
    <w:rsid w:val="00135CCF"/>
    <w:rsid w:val="001814BD"/>
    <w:rsid w:val="00184FD4"/>
    <w:rsid w:val="00186393"/>
    <w:rsid w:val="001B6FC0"/>
    <w:rsid w:val="00207CEE"/>
    <w:rsid w:val="002623DE"/>
    <w:rsid w:val="002708AF"/>
    <w:rsid w:val="00284407"/>
    <w:rsid w:val="002A204A"/>
    <w:rsid w:val="002B12E6"/>
    <w:rsid w:val="002B3E8E"/>
    <w:rsid w:val="002F0E98"/>
    <w:rsid w:val="00323730"/>
    <w:rsid w:val="00325F55"/>
    <w:rsid w:val="003608E1"/>
    <w:rsid w:val="003918BB"/>
    <w:rsid w:val="00397B1F"/>
    <w:rsid w:val="003B16AB"/>
    <w:rsid w:val="003D67E7"/>
    <w:rsid w:val="003F1C06"/>
    <w:rsid w:val="00434790"/>
    <w:rsid w:val="00435B30"/>
    <w:rsid w:val="004547AF"/>
    <w:rsid w:val="00470A66"/>
    <w:rsid w:val="00471814"/>
    <w:rsid w:val="004777EC"/>
    <w:rsid w:val="0048073D"/>
    <w:rsid w:val="00482AE6"/>
    <w:rsid w:val="004B31ED"/>
    <w:rsid w:val="0050687F"/>
    <w:rsid w:val="005178BA"/>
    <w:rsid w:val="005304FD"/>
    <w:rsid w:val="00540D30"/>
    <w:rsid w:val="005908D2"/>
    <w:rsid w:val="005B0BED"/>
    <w:rsid w:val="005E1D1F"/>
    <w:rsid w:val="00624EC7"/>
    <w:rsid w:val="00686A84"/>
    <w:rsid w:val="0069186D"/>
    <w:rsid w:val="006F2085"/>
    <w:rsid w:val="006F340F"/>
    <w:rsid w:val="006F6DBD"/>
    <w:rsid w:val="00737047"/>
    <w:rsid w:val="007806AC"/>
    <w:rsid w:val="007A774E"/>
    <w:rsid w:val="007D1C8C"/>
    <w:rsid w:val="00800B1F"/>
    <w:rsid w:val="0081416B"/>
    <w:rsid w:val="00846460"/>
    <w:rsid w:val="00883D1B"/>
    <w:rsid w:val="008C5B4A"/>
    <w:rsid w:val="008D17F0"/>
    <w:rsid w:val="008E4700"/>
    <w:rsid w:val="009136D1"/>
    <w:rsid w:val="0097091B"/>
    <w:rsid w:val="00987AA2"/>
    <w:rsid w:val="009D2422"/>
    <w:rsid w:val="009F1176"/>
    <w:rsid w:val="009F176F"/>
    <w:rsid w:val="00A107B1"/>
    <w:rsid w:val="00A151D3"/>
    <w:rsid w:val="00A16C13"/>
    <w:rsid w:val="00A41756"/>
    <w:rsid w:val="00A45697"/>
    <w:rsid w:val="00A67DEA"/>
    <w:rsid w:val="00A71E75"/>
    <w:rsid w:val="00A959F0"/>
    <w:rsid w:val="00AB2ED7"/>
    <w:rsid w:val="00AD05A0"/>
    <w:rsid w:val="00AD141F"/>
    <w:rsid w:val="00AD2C27"/>
    <w:rsid w:val="00B017B6"/>
    <w:rsid w:val="00BD4094"/>
    <w:rsid w:val="00BE53A1"/>
    <w:rsid w:val="00C07207"/>
    <w:rsid w:val="00C12C22"/>
    <w:rsid w:val="00C607E5"/>
    <w:rsid w:val="00C724FB"/>
    <w:rsid w:val="00C84B0A"/>
    <w:rsid w:val="00CB1C49"/>
    <w:rsid w:val="00CC114D"/>
    <w:rsid w:val="00D14337"/>
    <w:rsid w:val="00D64BF4"/>
    <w:rsid w:val="00DE4813"/>
    <w:rsid w:val="00DE6A53"/>
    <w:rsid w:val="00E023CF"/>
    <w:rsid w:val="00E144A9"/>
    <w:rsid w:val="00E22CCF"/>
    <w:rsid w:val="00E62A19"/>
    <w:rsid w:val="00E94BF4"/>
    <w:rsid w:val="00E97290"/>
    <w:rsid w:val="00EB69C2"/>
    <w:rsid w:val="00EC75E3"/>
    <w:rsid w:val="00F318A1"/>
    <w:rsid w:val="00F65C8F"/>
    <w:rsid w:val="00F8446B"/>
    <w:rsid w:val="00FF2BAF"/>
    <w:rsid w:val="055A425C"/>
    <w:rsid w:val="092751C5"/>
    <w:rsid w:val="11DA2C04"/>
    <w:rsid w:val="1F08306B"/>
    <w:rsid w:val="33A733EC"/>
    <w:rsid w:val="47E601BA"/>
    <w:rsid w:val="4F3810E8"/>
    <w:rsid w:val="668535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customStyle="1" w:styleId="10">
    <w:name w:val="b-free-read-leaf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标题 3 Char"/>
    <w:basedOn w:val="8"/>
    <w:link w:val="2"/>
    <w:qFormat/>
    <w:uiPriority w:val="9"/>
    <w:rPr>
      <w:rFonts w:ascii="宋体" w:hAnsi="宋体" w:cs="宋体"/>
      <w:b/>
      <w:bCs/>
      <w:sz w:val="27"/>
      <w:szCs w:val="27"/>
    </w:rPr>
  </w:style>
  <w:style w:type="character" w:customStyle="1" w:styleId="12">
    <w:name w:val="页眉 Char"/>
    <w:basedOn w:val="8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993</Words>
  <Characters>1009</Characters>
  <Lines>10</Lines>
  <Paragraphs>3</Paragraphs>
  <TotalTime>924</TotalTime>
  <ScaleCrop>false</ScaleCrop>
  <LinksUpToDate>false</LinksUpToDate>
  <CharactersWithSpaces>1035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2022-07-19T07:28:00Z</dcterms:created>
  <dc:creator>Administrator</dc:creator>
  <cp:lastModifiedBy>WPS_1528195194</cp:lastModifiedBy>
  <cp:lastPrinted>2022-07-28T03:05:00Z</cp:lastPrinted>
  <dcterms:modified xsi:type="dcterms:W3CDTF">2022-08-03T11:03:50Z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7B53EA0F024944828E796ED8DBCB14A3</vt:lpwstr>
  </property>
</Properties>
</file>