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方正小标宋简体" w:hAnsi="方正小标宋简体" w:eastAsia="方正小标宋简体" w:cs="宋体"/>
          <w:kern w:val="36"/>
          <w:sz w:val="44"/>
          <w:szCs w:val="44"/>
        </w:rPr>
      </w:pPr>
    </w:p>
    <w:p>
      <w:pPr>
        <w:widowControl/>
        <w:spacing w:line="560" w:lineRule="exact"/>
        <w:outlineLvl w:val="0"/>
        <w:rPr>
          <w:rFonts w:ascii="方正小标宋简体" w:hAnsi="方正小标宋简体" w:eastAsia="方正小标宋简体" w:cs="宋体"/>
          <w:kern w:val="36"/>
          <w:sz w:val="44"/>
          <w:szCs w:val="44"/>
        </w:rPr>
      </w:pPr>
    </w:p>
    <w:p>
      <w:pPr>
        <w:widowControl/>
        <w:spacing w:line="560" w:lineRule="exact"/>
        <w:jc w:val="center"/>
        <w:outlineLvl w:val="0"/>
        <w:rPr>
          <w:rFonts w:hint="eastAsia" w:ascii="方正小标宋简体" w:hAnsi="方正小标宋简体" w:eastAsia="方正小标宋简体" w:cs="宋体"/>
          <w:kern w:val="36"/>
          <w:sz w:val="44"/>
          <w:szCs w:val="44"/>
        </w:rPr>
      </w:pPr>
      <w:bookmarkStart w:id="0" w:name="_GoBack"/>
      <w:r>
        <w:rPr>
          <w:rFonts w:hint="eastAsia" w:ascii="方正小标宋简体" w:hAnsi="方正小标宋简体" w:eastAsia="方正小标宋简体" w:cs="宋体"/>
          <w:kern w:val="36"/>
          <w:sz w:val="44"/>
          <w:szCs w:val="44"/>
          <w:lang w:val="en-US" w:eastAsia="zh-CN"/>
        </w:rPr>
        <w:t>靖江市人民政府</w:t>
      </w:r>
      <w:r>
        <w:rPr>
          <w:rFonts w:hint="eastAsia" w:ascii="方正小标宋简体" w:hAnsi="方正小标宋简体" w:eastAsia="方正小标宋简体" w:cs="宋体"/>
          <w:kern w:val="36"/>
          <w:sz w:val="44"/>
          <w:szCs w:val="44"/>
        </w:rPr>
        <w:t>关于划定</w:t>
      </w:r>
    </w:p>
    <w:p>
      <w:pPr>
        <w:widowControl/>
        <w:spacing w:line="560" w:lineRule="exact"/>
        <w:jc w:val="center"/>
        <w:outlineLvl w:val="0"/>
        <w:rPr>
          <w:rFonts w:ascii="方正小标宋简体" w:hAnsi="方正小标宋简体" w:eastAsia="方正小标宋简体" w:cs="宋体"/>
          <w:kern w:val="36"/>
          <w:sz w:val="44"/>
          <w:szCs w:val="44"/>
        </w:rPr>
      </w:pPr>
      <w:r>
        <w:rPr>
          <w:rFonts w:hint="eastAsia" w:ascii="方正小标宋简体" w:hAnsi="方正小标宋简体" w:eastAsia="方正小标宋简体" w:cs="宋体"/>
          <w:kern w:val="36"/>
          <w:sz w:val="44"/>
          <w:szCs w:val="44"/>
        </w:rPr>
        <w:t>禁止使用高排放非道路移动机械区域的通告</w:t>
      </w:r>
      <w:bookmarkEnd w:id="0"/>
    </w:p>
    <w:p>
      <w:pPr>
        <w:widowControl/>
        <w:spacing w:line="560" w:lineRule="exact"/>
        <w:jc w:val="center"/>
        <w:outlineLvl w:val="0"/>
        <w:rPr>
          <w:rFonts w:ascii="方正小标宋简体" w:hAnsi="方正小标宋简体" w:eastAsia="方正小标宋简体" w:cs="宋体"/>
          <w:kern w:val="36"/>
          <w:sz w:val="44"/>
          <w:szCs w:val="44"/>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加强非道路移动机械污染防治，持续改善环境空气质量，保障人民群众身体健康，根据《中华人民共和国大气污染防治法》《江苏省大气污染防治条例》等有关规定，市政府决定在本市行政区域内划定禁止使用高排放非道路移动机械区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现将</w:t>
      </w:r>
      <w:r>
        <w:rPr>
          <w:rFonts w:hint="eastAsia" w:ascii="Times New Roman" w:hAnsi="Times New Roman" w:eastAsia="仿宋_GB2312"/>
          <w:sz w:val="32"/>
          <w:szCs w:val="32"/>
        </w:rPr>
        <w:t>有关事项通告如下：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一、高排放非道路移动机械禁用区范围</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1. </w:t>
      </w:r>
      <w:r>
        <w:rPr>
          <w:rFonts w:ascii="Times New Roman" w:hAnsi="Times New Roman" w:eastAsia="仿宋_GB2312"/>
          <w:sz w:val="32"/>
          <w:szCs w:val="32"/>
        </w:rPr>
        <w:t>北二环</w:t>
      </w:r>
      <w:r>
        <w:rPr>
          <w:rFonts w:hint="eastAsia" w:ascii="Times New Roman" w:hAnsi="Times New Roman" w:eastAsia="仿宋_GB2312"/>
          <w:sz w:val="32"/>
          <w:szCs w:val="32"/>
        </w:rPr>
        <w:t>（含）—</w:t>
      </w:r>
      <w:r>
        <w:rPr>
          <w:rFonts w:ascii="Times New Roman" w:hAnsi="Times New Roman" w:eastAsia="仿宋_GB2312"/>
          <w:sz w:val="32"/>
          <w:szCs w:val="32"/>
        </w:rPr>
        <w:t>城西大道</w:t>
      </w:r>
      <w:r>
        <w:rPr>
          <w:rFonts w:hint="eastAsia" w:ascii="Times New Roman" w:hAnsi="Times New Roman" w:eastAsia="仿宋_GB2312"/>
          <w:sz w:val="32"/>
          <w:szCs w:val="32"/>
        </w:rPr>
        <w:t>（含）—</w:t>
      </w:r>
      <w:r>
        <w:rPr>
          <w:rFonts w:ascii="Times New Roman" w:hAnsi="Times New Roman" w:eastAsia="仿宋_GB2312"/>
          <w:sz w:val="32"/>
          <w:szCs w:val="32"/>
        </w:rPr>
        <w:t>公新公路</w:t>
      </w:r>
      <w:r>
        <w:rPr>
          <w:rFonts w:hint="eastAsia" w:ascii="Times New Roman" w:hAnsi="Times New Roman" w:eastAsia="仿宋_GB2312"/>
          <w:sz w:val="32"/>
          <w:szCs w:val="32"/>
        </w:rPr>
        <w:t>（含）—</w:t>
      </w:r>
      <w:r>
        <w:rPr>
          <w:rFonts w:ascii="Times New Roman" w:hAnsi="Times New Roman" w:eastAsia="仿宋_GB2312"/>
          <w:sz w:val="32"/>
          <w:szCs w:val="32"/>
        </w:rPr>
        <w:t>新洲路</w:t>
      </w:r>
      <w:r>
        <w:rPr>
          <w:rFonts w:hint="eastAsia" w:ascii="Times New Roman" w:hAnsi="Times New Roman" w:eastAsia="仿宋_GB2312"/>
          <w:sz w:val="32"/>
          <w:szCs w:val="32"/>
        </w:rPr>
        <w:t>（含）—</w:t>
      </w:r>
      <w:r>
        <w:rPr>
          <w:rFonts w:hint="eastAsia" w:ascii="Times New Roman" w:hAnsi="Times New Roman" w:eastAsia="仿宋_GB2312"/>
          <w:sz w:val="32"/>
          <w:szCs w:val="32"/>
          <w:lang w:val="en-US" w:eastAsia="zh-CN"/>
        </w:rPr>
        <w:t>通江路（含）—</w:t>
      </w:r>
      <w:r>
        <w:rPr>
          <w:rFonts w:hint="eastAsia" w:ascii="Times New Roman" w:hAnsi="Times New Roman" w:eastAsia="仿宋_GB2312"/>
          <w:sz w:val="32"/>
          <w:szCs w:val="32"/>
        </w:rPr>
        <w:t>沿江公路（含）—新长铁路—横港—城东大道（含）</w:t>
      </w:r>
      <w:r>
        <w:rPr>
          <w:rFonts w:hint="eastAsia" w:ascii="Times New Roman" w:hAnsi="Times New Roman" w:eastAsia="仿宋_GB2312"/>
          <w:sz w:val="32"/>
          <w:szCs w:val="32"/>
          <w:lang w:val="en-US" w:eastAsia="zh-CN"/>
        </w:rPr>
        <w:t>所</w:t>
      </w:r>
      <w:r>
        <w:rPr>
          <w:rFonts w:hint="eastAsia" w:ascii="Times New Roman" w:hAnsi="Times New Roman" w:eastAsia="仿宋_GB2312"/>
          <w:sz w:val="32"/>
          <w:szCs w:val="32"/>
        </w:rPr>
        <w:t>合区域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见附件</w:t>
      </w:r>
      <w:r>
        <w:rPr>
          <w:rFonts w:hint="eastAsia" w:ascii="Times New Roman" w:hAnsi="Times New Roman" w:eastAsia="仿宋_GB2312"/>
          <w:sz w:val="32"/>
          <w:szCs w:val="32"/>
          <w:lang w:eastAsia="zh-CN"/>
        </w:rPr>
        <w:t>）；</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 靖江经济技术开发区本部、江阴</w:t>
      </w:r>
      <w:r>
        <w:rPr>
          <w:rFonts w:hint="eastAsia" w:ascii="Times New Roman" w:hAnsi="Times New Roman" w:eastAsia="仿宋_GB2312"/>
          <w:sz w:val="32"/>
          <w:szCs w:val="32"/>
          <w:lang w:eastAsia="zh-CN"/>
        </w:rPr>
        <w:t>—</w:t>
      </w:r>
      <w:r>
        <w:rPr>
          <w:rFonts w:ascii="Times New Roman" w:hAnsi="Times New Roman" w:eastAsia="仿宋_GB2312"/>
          <w:sz w:val="32"/>
          <w:szCs w:val="32"/>
        </w:rPr>
        <w:t>靖江工业园区、城北园区、城南园区</w:t>
      </w:r>
      <w:r>
        <w:rPr>
          <w:rFonts w:hint="eastAsia" w:ascii="Times New Roman" w:hAnsi="Times New Roman" w:eastAsia="仿宋_GB2312"/>
          <w:sz w:val="32"/>
          <w:szCs w:val="32"/>
          <w:lang w:val="en-US" w:eastAsia="zh-CN"/>
        </w:rPr>
        <w:t>全域，以及</w:t>
      </w:r>
      <w:r>
        <w:rPr>
          <w:rFonts w:ascii="Times New Roman" w:hAnsi="Times New Roman" w:eastAsia="仿宋_GB2312"/>
          <w:sz w:val="32"/>
          <w:szCs w:val="32"/>
        </w:rPr>
        <w:t>各镇工业集聚区规划范围</w:t>
      </w:r>
      <w:r>
        <w:rPr>
          <w:rFonts w:hint="eastAsia" w:ascii="Times New Roman" w:hAnsi="Times New Roman" w:eastAsia="仿宋_GB2312"/>
          <w:sz w:val="32"/>
          <w:szCs w:val="32"/>
          <w:lang w:eastAsia="zh-CN"/>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本市行政区域内</w:t>
      </w:r>
      <w:r>
        <w:rPr>
          <w:rFonts w:hint="eastAsia" w:ascii="Times New Roman" w:hAnsi="Times New Roman" w:eastAsia="仿宋_GB2312"/>
          <w:sz w:val="32"/>
          <w:szCs w:val="32"/>
          <w:lang w:val="en-US" w:eastAsia="zh-CN"/>
        </w:rPr>
        <w:t>各</w:t>
      </w:r>
      <w:r>
        <w:rPr>
          <w:rFonts w:hint="eastAsia" w:ascii="Times New Roman" w:hAnsi="Times New Roman" w:eastAsia="仿宋_GB2312"/>
          <w:sz w:val="32"/>
          <w:szCs w:val="32"/>
        </w:rPr>
        <w:t>施工工地、港口码头、货场堆场、物流园区和工矿企业。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二、非道路移动机械种类和高排放非道路移动机械认定标准</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（一）非道路移动机械种类</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非道路移动机械，是指用于非道路上的，自驱动或者具有双重功能，或者不能自驱动，但被设计成能够从一个地方移动或者被移动到另一个地方的机械，包括但不限于工业钻探设备、工程机械、农业机械、林业机械、渔业机械、材料装卸机械、叉车、雪犁装备、机场地勤设备、空气压缩机、发电机组、水泵等。</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（二）高排放非道路移动机械认定标准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高排放非道路移动机械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是</w:t>
      </w:r>
      <w:r>
        <w:rPr>
          <w:rFonts w:hint="eastAsia" w:ascii="Times New Roman" w:hAnsi="Times New Roman" w:eastAsia="仿宋_GB2312"/>
          <w:sz w:val="32"/>
          <w:szCs w:val="32"/>
        </w:rPr>
        <w:t>指依据《中华人民共和国大气污染防治法》第五十九条和《非道路柴油移动机械排气烟度限值及测量方法》（</w:t>
      </w:r>
      <w:r>
        <w:rPr>
          <w:rFonts w:ascii="Times New Roman" w:hAnsi="Times New Roman" w:eastAsia="仿宋_GB2312"/>
          <w:sz w:val="32"/>
          <w:szCs w:val="32"/>
        </w:rPr>
        <w:t>GB 36886</w:t>
      </w:r>
      <w:r>
        <w:rPr>
          <w:rFonts w:hint="eastAsia" w:ascii="Times New Roman" w:hAnsi="Times New Roman" w:eastAsia="仿宋_GB2312"/>
          <w:sz w:val="32"/>
          <w:szCs w:val="32"/>
          <w:lang w:eastAsia="zh-CN"/>
        </w:rPr>
        <w:t>—</w:t>
      </w:r>
      <w:r>
        <w:rPr>
          <w:rFonts w:ascii="Times New Roman" w:hAnsi="Times New Roman" w:eastAsia="仿宋_GB2312"/>
          <w:sz w:val="32"/>
          <w:szCs w:val="32"/>
        </w:rPr>
        <w:t>2018）规定，未安装污染物控制装置或者污染物控制装置不符合要求，未达到国家第三阶段（国</w:t>
      </w:r>
      <w:r>
        <w:rPr>
          <w:rFonts w:hint="default" w:ascii="Times New Roman" w:hAnsi="Times New Roman" w:cs="Times New Roman"/>
          <w:sz w:val="32"/>
          <w:szCs w:val="32"/>
        </w:rPr>
        <w:t>Ⅲ</w:t>
      </w:r>
      <w:r>
        <w:rPr>
          <w:rFonts w:ascii="Times New Roman" w:hAnsi="Times New Roman" w:eastAsia="仿宋_GB2312"/>
          <w:sz w:val="32"/>
          <w:szCs w:val="32"/>
        </w:rPr>
        <w:t>）排放标准的，以及所有排放可见烟的非道路移动机械。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三、高排放非道路移动机械禁用区管理要求</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禁用区内，禁止销售</w:t>
      </w:r>
      <w:r>
        <w:rPr>
          <w:rFonts w:hint="eastAsia" w:ascii="Times New Roman" w:hAnsi="Times New Roman" w:eastAsia="仿宋_GB2312"/>
          <w:sz w:val="32"/>
          <w:szCs w:val="32"/>
        </w:rPr>
        <w:t>和使用</w:t>
      </w:r>
      <w:r>
        <w:rPr>
          <w:rFonts w:ascii="Times New Roman" w:hAnsi="Times New Roman" w:eastAsia="仿宋_GB2312"/>
          <w:sz w:val="32"/>
          <w:szCs w:val="32"/>
        </w:rPr>
        <w:t>超过污染物排放标准</w:t>
      </w:r>
      <w:r>
        <w:rPr>
          <w:rFonts w:hint="eastAsia" w:ascii="Times New Roman" w:hAnsi="Times New Roman" w:eastAsia="仿宋_GB2312"/>
          <w:sz w:val="32"/>
          <w:szCs w:val="32"/>
        </w:rPr>
        <w:t>的</w:t>
      </w:r>
      <w:r>
        <w:rPr>
          <w:rFonts w:ascii="Times New Roman" w:hAnsi="Times New Roman" w:eastAsia="仿宋_GB2312"/>
          <w:sz w:val="32"/>
          <w:szCs w:val="32"/>
        </w:rPr>
        <w:t>高排放非道路移动机械，新增非道路移动机械应达到国家第三阶段（国</w:t>
      </w:r>
      <w:r>
        <w:rPr>
          <w:rFonts w:hint="default" w:ascii="Times New Roman" w:hAnsi="Times New Roman" w:cs="Times New Roman"/>
          <w:sz w:val="32"/>
          <w:szCs w:val="32"/>
        </w:rPr>
        <w:t>Ⅲ</w:t>
      </w:r>
      <w:r>
        <w:rPr>
          <w:rFonts w:ascii="Times New Roman" w:hAnsi="Times New Roman" w:eastAsia="仿宋_GB2312"/>
          <w:sz w:val="32"/>
          <w:szCs w:val="32"/>
        </w:rPr>
        <w:t>）排放标准。鼓励和支持生产、销售、使用新能源非道路移动机械。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非道路柴油移动机械在禁用区内使用时，应符合《非道路柴油移动机械排气烟度限值及测量方法》（GB36886</w:t>
      </w:r>
      <w:r>
        <w:rPr>
          <w:rFonts w:hint="eastAsia" w:ascii="Times New Roman" w:hAnsi="Times New Roman" w:eastAsia="仿宋_GB2312"/>
          <w:sz w:val="32"/>
          <w:szCs w:val="32"/>
          <w:lang w:eastAsia="zh-CN"/>
        </w:rPr>
        <w:t>—</w:t>
      </w:r>
      <w:r>
        <w:rPr>
          <w:rFonts w:ascii="Times New Roman" w:hAnsi="Times New Roman" w:eastAsia="仿宋_GB2312"/>
          <w:sz w:val="32"/>
          <w:szCs w:val="32"/>
        </w:rPr>
        <w:t>2018）中</w:t>
      </w:r>
      <w:r>
        <w:rPr>
          <w:rFonts w:hint="default" w:ascii="Times New Roman" w:hAnsi="Times New Roman" w:cs="Times New Roman"/>
          <w:sz w:val="32"/>
          <w:szCs w:val="32"/>
        </w:rPr>
        <w:t>Ⅲ</w:t>
      </w:r>
      <w:r>
        <w:rPr>
          <w:rFonts w:ascii="Times New Roman" w:hAnsi="Times New Roman" w:eastAsia="仿宋_GB2312"/>
          <w:sz w:val="32"/>
          <w:szCs w:val="32"/>
        </w:rPr>
        <w:t>类限值标准要求，目视不能有明显可见烟。</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生态环境、交通运输、住房城乡建设、水利、城市管理</w:t>
      </w:r>
      <w:r>
        <w:rPr>
          <w:rFonts w:hint="eastAsia" w:ascii="Times New Roman" w:hAnsi="Times New Roman" w:eastAsia="仿宋_GB2312"/>
          <w:sz w:val="32"/>
          <w:szCs w:val="32"/>
        </w:rPr>
        <w:t>、农业农村、市场监管</w:t>
      </w:r>
      <w:r>
        <w:rPr>
          <w:rFonts w:ascii="Times New Roman" w:hAnsi="Times New Roman" w:eastAsia="仿宋_GB2312"/>
          <w:sz w:val="32"/>
          <w:szCs w:val="32"/>
        </w:rPr>
        <w:t>等部门根据各自职责对本市高排放非道路移动机械禁用区域进行监督管理。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hint="eastAsia" w:ascii="Times New Roman" w:hAnsi="Times New Roman" w:eastAsia="仿宋_GB2312"/>
          <w:kern w:val="0"/>
          <w:sz w:val="32"/>
          <w:szCs w:val="32"/>
        </w:rPr>
        <w:t>违反本通告规定，</w:t>
      </w:r>
      <w:r>
        <w:rPr>
          <w:rFonts w:hint="eastAsia" w:ascii="Times New Roman" w:hAnsi="Times New Roman" w:eastAsia="仿宋_GB2312"/>
          <w:sz w:val="32"/>
          <w:szCs w:val="32"/>
        </w:rPr>
        <w:t>在禁止区域内使用高排放非道路移动机械的，</w:t>
      </w:r>
      <w:r>
        <w:rPr>
          <w:rFonts w:ascii="Times New Roman" w:hAnsi="Times New Roman" w:eastAsia="仿宋_GB2312"/>
          <w:sz w:val="32"/>
          <w:szCs w:val="32"/>
        </w:rPr>
        <w:t>依据《中华人民共和国大气污染防治法》第一百一十四条、《</w:t>
      </w:r>
      <w:r>
        <w:rPr>
          <w:rFonts w:hint="eastAsia" w:ascii="Times New Roman" w:hAnsi="Times New Roman" w:eastAsia="仿宋_GB2312"/>
          <w:sz w:val="32"/>
          <w:szCs w:val="32"/>
        </w:rPr>
        <w:t>江苏</w:t>
      </w:r>
      <w:r>
        <w:rPr>
          <w:rFonts w:ascii="Times New Roman" w:hAnsi="Times New Roman" w:eastAsia="仿宋_GB2312"/>
          <w:sz w:val="32"/>
          <w:szCs w:val="32"/>
        </w:rPr>
        <w:t>省大气污染防治条例》第</w:t>
      </w:r>
      <w:r>
        <w:rPr>
          <w:rFonts w:hint="eastAsia" w:ascii="Times New Roman" w:hAnsi="Times New Roman" w:eastAsia="仿宋_GB2312"/>
          <w:sz w:val="32"/>
          <w:szCs w:val="32"/>
        </w:rPr>
        <w:t>九十一</w:t>
      </w:r>
      <w:r>
        <w:rPr>
          <w:rFonts w:ascii="Times New Roman" w:hAnsi="Times New Roman" w:eastAsia="仿宋_GB2312"/>
          <w:sz w:val="32"/>
          <w:szCs w:val="32"/>
        </w:rPr>
        <w:t>条</w:t>
      </w:r>
      <w:r>
        <w:rPr>
          <w:rFonts w:hint="eastAsia" w:ascii="Times New Roman" w:hAnsi="Times New Roman" w:eastAsia="仿宋_GB2312"/>
          <w:sz w:val="32"/>
          <w:szCs w:val="32"/>
          <w:lang w:val="en-US" w:eastAsia="zh-CN"/>
        </w:rPr>
        <w:t>之</w:t>
      </w:r>
      <w:r>
        <w:rPr>
          <w:rFonts w:ascii="Times New Roman" w:hAnsi="Times New Roman" w:eastAsia="仿宋_GB2312"/>
          <w:sz w:val="32"/>
          <w:szCs w:val="32"/>
        </w:rPr>
        <w:t>规定，</w:t>
      </w:r>
      <w:r>
        <w:rPr>
          <w:rFonts w:hint="eastAsia" w:ascii="Times New Roman" w:hAnsi="Times New Roman" w:eastAsia="仿宋_GB2312"/>
          <w:sz w:val="32"/>
          <w:szCs w:val="32"/>
        </w:rPr>
        <w:t>由生态环境行政主管部门责令限期改正，可以处一万元以上五万元以下罚款。</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 民生保障、应急抢险等工程使用的非道路移动机械不受上述要求限制。</w:t>
      </w:r>
    </w:p>
    <w:p>
      <w:pPr>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 本通告自2022年9月1日起施行。</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附件：禁止使用高排放非道路移动机械区域示意图</w:t>
      </w:r>
    </w:p>
    <w:p>
      <w:pPr>
        <w:spacing w:line="560" w:lineRule="exact"/>
        <w:ind w:firstLine="640" w:firstLineChars="200"/>
        <w:rPr>
          <w:rFonts w:hint="eastAsia" w:ascii="Times New Roman" w:hAnsi="Times New Roman" w:eastAsia="仿宋_GB2312"/>
          <w:sz w:val="32"/>
          <w:szCs w:val="32"/>
        </w:rPr>
      </w:pPr>
    </w:p>
    <w:p>
      <w:pPr>
        <w:spacing w:line="560" w:lineRule="exact"/>
        <w:ind w:firstLine="640" w:firstLineChars="200"/>
        <w:rPr>
          <w:rFonts w:hint="eastAsia" w:ascii="Times New Roman" w:hAnsi="Times New Roman" w:eastAsia="仿宋_GB2312"/>
          <w:sz w:val="32"/>
          <w:szCs w:val="32"/>
        </w:rPr>
      </w:pPr>
    </w:p>
    <w:p>
      <w:pPr>
        <w:spacing w:line="560" w:lineRule="exact"/>
        <w:ind w:firstLine="5120" w:firstLineChars="16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靖江市人民政府</w:t>
      </w:r>
    </w:p>
    <w:p>
      <w:pPr>
        <w:spacing w:line="560" w:lineRule="exact"/>
        <w:ind w:firstLine="5120" w:firstLineChars="16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2022年7月29日</w:t>
      </w:r>
    </w:p>
    <w:p>
      <w:pPr>
        <w:spacing w:line="520" w:lineRule="exact"/>
        <w:ind w:firstLine="640" w:firstLineChars="200"/>
        <w:rPr>
          <w:rFonts w:ascii="Times New Roman" w:hAnsi="Times New Roman" w:eastAsia="仿宋_GB2312"/>
          <w:sz w:val="32"/>
          <w:szCs w:val="32"/>
        </w:rPr>
      </w:pPr>
    </w:p>
    <w:p>
      <w:pPr>
        <w:spacing w:line="520" w:lineRule="exact"/>
        <w:ind w:firstLine="640" w:firstLineChars="200"/>
        <w:rPr>
          <w:rFonts w:ascii="Times New Roman" w:hAnsi="Times New Roman" w:eastAsia="仿宋_GB2312"/>
          <w:sz w:val="32"/>
          <w:szCs w:val="32"/>
        </w:rPr>
      </w:pPr>
    </w:p>
    <w:p>
      <w:pPr>
        <w:spacing w:line="520" w:lineRule="exact"/>
        <w:ind w:right="960" w:firstLine="640" w:firstLineChars="200"/>
        <w:jc w:val="right"/>
        <w:rPr>
          <w:rFonts w:ascii="Times New Roman" w:hAnsi="Times New Roman" w:eastAsia="仿宋_GB2312"/>
          <w:sz w:val="32"/>
          <w:szCs w:val="32"/>
        </w:rPr>
      </w:pPr>
    </w:p>
    <w:p>
      <w:pPr>
        <w:spacing w:line="520" w:lineRule="exact"/>
        <w:ind w:right="2240"/>
        <w:rPr>
          <w:rFonts w:ascii="Times New Roman" w:hAnsi="Times New Roman" w:eastAsia="仿宋_GB2312"/>
          <w:sz w:val="32"/>
          <w:szCs w:val="32"/>
        </w:rPr>
      </w:pPr>
    </w:p>
    <w:p>
      <w:pPr>
        <w:spacing w:line="520" w:lineRule="exact"/>
        <w:ind w:right="2240"/>
        <w:rPr>
          <w:rFonts w:ascii="Times New Roman" w:hAnsi="Times New Roman" w:eastAsia="仿宋_GB2312"/>
          <w:sz w:val="32"/>
          <w:szCs w:val="32"/>
        </w:rPr>
      </w:pPr>
    </w:p>
    <w:p>
      <w:pPr>
        <w:spacing w:line="520" w:lineRule="exact"/>
        <w:ind w:right="2240"/>
        <w:rPr>
          <w:rFonts w:ascii="Times New Roman" w:hAnsi="Times New Roman" w:eastAsia="仿宋_GB2312"/>
          <w:sz w:val="32"/>
          <w:szCs w:val="32"/>
        </w:rPr>
      </w:pPr>
    </w:p>
    <w:p>
      <w:pPr>
        <w:spacing w:line="520" w:lineRule="exact"/>
        <w:ind w:right="2240"/>
        <w:rPr>
          <w:rFonts w:ascii="Times New Roman" w:hAnsi="Times New Roman" w:eastAsia="仿宋_GB2312"/>
          <w:sz w:val="32"/>
          <w:szCs w:val="32"/>
        </w:rPr>
      </w:pPr>
    </w:p>
    <w:p>
      <w:pPr>
        <w:spacing w:line="520" w:lineRule="exact"/>
        <w:ind w:right="2240"/>
        <w:rPr>
          <w:rFonts w:ascii="Times New Roman" w:hAnsi="Times New Roman" w:eastAsia="仿宋_GB2312"/>
          <w:sz w:val="32"/>
          <w:szCs w:val="32"/>
        </w:rPr>
      </w:pPr>
    </w:p>
    <w:p>
      <w:pPr>
        <w:spacing w:line="520" w:lineRule="exact"/>
        <w:ind w:right="2240"/>
        <w:rPr>
          <w:rFonts w:ascii="Times New Roman" w:hAnsi="Times New Roman" w:eastAsia="仿宋_GB2312"/>
          <w:sz w:val="32"/>
          <w:szCs w:val="32"/>
        </w:rPr>
      </w:pPr>
    </w:p>
    <w:p>
      <w:pPr>
        <w:spacing w:line="520" w:lineRule="exact"/>
        <w:ind w:right="2240"/>
        <w:rPr>
          <w:rFonts w:ascii="Times New Roman" w:hAnsi="Times New Roman" w:eastAsia="仿宋_GB2312"/>
          <w:sz w:val="32"/>
          <w:szCs w:val="32"/>
        </w:rPr>
      </w:pPr>
    </w:p>
    <w:p>
      <w:pPr>
        <w:spacing w:line="520" w:lineRule="exact"/>
        <w:ind w:right="2240"/>
        <w:rPr>
          <w:rFonts w:ascii="Times New Roman" w:hAnsi="Times New Roman" w:eastAsia="仿宋_GB2312"/>
          <w:sz w:val="32"/>
          <w:szCs w:val="32"/>
        </w:rPr>
      </w:pPr>
    </w:p>
    <w:p>
      <w:pPr>
        <w:spacing w:line="520" w:lineRule="exact"/>
        <w:ind w:right="2240"/>
        <w:rPr>
          <w:rFonts w:ascii="Times New Roman" w:hAnsi="Times New Roman" w:eastAsia="仿宋_GB2312"/>
          <w:sz w:val="32"/>
          <w:szCs w:val="32"/>
        </w:rPr>
        <w:sectPr>
          <w:footerReference r:id="rId3" w:type="default"/>
          <w:pgSz w:w="11906" w:h="16838"/>
          <w:pgMar w:top="2098" w:right="1474" w:bottom="1985" w:left="1588" w:header="851" w:footer="1418" w:gutter="0"/>
          <w:pgNumType w:fmt="numberInDash"/>
          <w:cols w:space="425" w:num="1"/>
          <w:docGrid w:type="lines" w:linePitch="312" w:charSpace="0"/>
        </w:sectPr>
      </w:pPr>
    </w:p>
    <w:p>
      <w:pPr>
        <w:spacing w:line="520" w:lineRule="exact"/>
        <w:ind w:right="960"/>
        <w:rPr>
          <w:rFonts w:ascii="黑体" w:hAnsi="黑体" w:eastAsia="黑体"/>
          <w:sz w:val="32"/>
          <w:szCs w:val="32"/>
        </w:rPr>
      </w:pPr>
      <w:r>
        <w:rPr>
          <w:rFonts w:hint="eastAsia" w:ascii="黑体" w:hAnsi="黑体" w:eastAsia="黑体"/>
          <w:sz w:val="32"/>
          <w:szCs w:val="32"/>
        </w:rPr>
        <w:t>附件</w:t>
      </w:r>
    </w:p>
    <w:p>
      <w:pPr>
        <w:spacing w:line="600" w:lineRule="exact"/>
        <w:ind w:left="-283" w:leftChars="-135" w:right="-227" w:rightChars="-108"/>
        <w:jc w:val="center"/>
        <w:rPr>
          <w:rFonts w:hint="eastAsia" w:ascii="方正小标宋简体" w:hAnsi="方正小标宋简体" w:eastAsia="方正小标宋简体"/>
          <w:sz w:val="44"/>
          <w:szCs w:val="44"/>
        </w:rPr>
      </w:pPr>
    </w:p>
    <w:p>
      <w:pPr>
        <w:pStyle w:val="5"/>
        <w:shd w:val="clear" w:color="auto" w:fill="FFFFFF"/>
        <w:spacing w:before="0" w:beforeAutospacing="0" w:after="0" w:afterAutospacing="0"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sz w:val="44"/>
          <w:szCs w:val="44"/>
        </w:rPr>
        <w:t>禁止使用高排放非道路移动机械区域</w:t>
      </w:r>
      <w:r>
        <w:rPr>
          <w:rFonts w:hint="eastAsia" w:ascii="方正小标宋简体" w:hAnsi="方正小标宋简体" w:eastAsia="方正小标宋简体" w:cs="Times New Roman"/>
          <w:sz w:val="44"/>
          <w:szCs w:val="44"/>
        </w:rPr>
        <w:t>示意图</w:t>
      </w:r>
    </w:p>
    <w:p>
      <w:pPr>
        <w:pStyle w:val="5"/>
        <w:shd w:val="clear" w:color="auto" w:fill="FFFFFF"/>
        <w:spacing w:before="0" w:beforeAutospacing="0" w:after="0" w:afterAutospacing="0" w:line="560" w:lineRule="exact"/>
        <w:jc w:val="center"/>
      </w:pPr>
      <w:r>
        <w:drawing>
          <wp:anchor distT="0" distB="0" distL="114300" distR="114300" simplePos="0" relativeHeight="251660288" behindDoc="0" locked="0" layoutInCell="1" allowOverlap="1">
            <wp:simplePos x="0" y="0"/>
            <wp:positionH relativeFrom="column">
              <wp:posOffset>20320</wp:posOffset>
            </wp:positionH>
            <wp:positionV relativeFrom="paragraph">
              <wp:posOffset>382270</wp:posOffset>
            </wp:positionV>
            <wp:extent cx="5457825" cy="6527800"/>
            <wp:effectExtent l="0" t="0" r="0" b="0"/>
            <wp:wrapNone/>
            <wp:docPr id="2" name="图片 1" descr="G:\2021年度工作计划\2021年大气治理\过堂会方案定稿(4.29晚）\生态环境局5.8\生态环境局5.24\高排放非道路移动机械禁用区范围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2021年度工作计划\2021年大气治理\过堂会方案定稿(4.29晚）\生态环境局5.8\生态环境局5.24\高排放非道路移动机械禁用区范围示意图.jpg"/>
                    <pic:cNvPicPr>
                      <a:picLocks noChangeAspect="1" noChangeArrowheads="1"/>
                    </pic:cNvPicPr>
                  </pic:nvPicPr>
                  <pic:blipFill>
                    <a:blip r:embed="rId5" cstate="print"/>
                    <a:srcRect/>
                    <a:stretch>
                      <a:fillRect/>
                    </a:stretch>
                  </pic:blipFill>
                  <pic:spPr>
                    <a:xfrm>
                      <a:off x="0" y="0"/>
                      <a:ext cx="5461067" cy="6531678"/>
                    </a:xfrm>
                    <a:prstGeom prst="rect">
                      <a:avLst/>
                    </a:prstGeom>
                    <a:noFill/>
                    <a:ln w="9525">
                      <a:noFill/>
                      <a:miter lim="800000"/>
                      <a:headEnd/>
                      <a:tailEnd/>
                    </a:ln>
                  </pic:spPr>
                </pic:pic>
              </a:graphicData>
            </a:graphic>
          </wp:anchor>
        </w:drawing>
      </w:r>
      <w:r>
        <w:t xml:space="preserve"> </w:t>
      </w:r>
    </w:p>
    <w:sectPr>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4435734"/>
                            <w:docPartObj>
                              <w:docPartGallery w:val="autotext"/>
                            </w:docPartObj>
                          </w:sdtPr>
                          <w:sdtEndPr>
                            <w:rPr>
                              <w:rFonts w:ascii="宋体" w:hAnsi="宋体"/>
                              <w:sz w:val="24"/>
                              <w:szCs w:val="24"/>
                            </w:rPr>
                          </w:sdtEndPr>
                          <w:sdtContent>
                            <w:p>
                              <w:pPr>
                                <w:pStyle w:val="3"/>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sdtContent>
                        </w:sdt>
                        <w:p>
                          <w:pPr>
                            <w:rPr>
                              <w:rFonts w:ascii="宋体" w:hAnsi="宋体"/>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34435734"/>
                      <w:docPartObj>
                        <w:docPartGallery w:val="autotext"/>
                      </w:docPartObj>
                    </w:sdtPr>
                    <w:sdtEndPr>
                      <w:rPr>
                        <w:rFonts w:ascii="宋体" w:hAnsi="宋体"/>
                        <w:sz w:val="24"/>
                        <w:szCs w:val="24"/>
                      </w:rPr>
                    </w:sdtEndPr>
                    <w:sdtContent>
                      <w:p>
                        <w:pPr>
                          <w:pStyle w:val="3"/>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sdtContent>
                  </w:sdt>
                  <w:p>
                    <w:pPr>
                      <w:rPr>
                        <w:rFonts w:ascii="宋体" w:hAnsi="宋体"/>
                        <w:sz w:val="24"/>
                        <w:szCs w:val="24"/>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NDkzMzM3OGJlOGM1MWJkNTQyODRkZTFjYTQwMDYifQ=="/>
  </w:docVars>
  <w:rsids>
    <w:rsidRoot w:val="00BE53A1"/>
    <w:rsid w:val="00084741"/>
    <w:rsid w:val="00095841"/>
    <w:rsid w:val="00135CCF"/>
    <w:rsid w:val="001814BD"/>
    <w:rsid w:val="001B1A24"/>
    <w:rsid w:val="00207CEE"/>
    <w:rsid w:val="00220511"/>
    <w:rsid w:val="002336FD"/>
    <w:rsid w:val="00284407"/>
    <w:rsid w:val="002959B9"/>
    <w:rsid w:val="002A4426"/>
    <w:rsid w:val="002B3E8E"/>
    <w:rsid w:val="002C4E88"/>
    <w:rsid w:val="002F0E98"/>
    <w:rsid w:val="00325F55"/>
    <w:rsid w:val="003F1C06"/>
    <w:rsid w:val="00434790"/>
    <w:rsid w:val="00435B30"/>
    <w:rsid w:val="004547AF"/>
    <w:rsid w:val="00470A66"/>
    <w:rsid w:val="00471814"/>
    <w:rsid w:val="005304FD"/>
    <w:rsid w:val="00540D30"/>
    <w:rsid w:val="005908D2"/>
    <w:rsid w:val="005D09A5"/>
    <w:rsid w:val="005E1D1F"/>
    <w:rsid w:val="00664371"/>
    <w:rsid w:val="00686A84"/>
    <w:rsid w:val="0069186D"/>
    <w:rsid w:val="006C1BF3"/>
    <w:rsid w:val="007155FA"/>
    <w:rsid w:val="00775BE5"/>
    <w:rsid w:val="007806AC"/>
    <w:rsid w:val="007A774E"/>
    <w:rsid w:val="007D1C8C"/>
    <w:rsid w:val="008101E0"/>
    <w:rsid w:val="008643A0"/>
    <w:rsid w:val="008D17F0"/>
    <w:rsid w:val="009207C1"/>
    <w:rsid w:val="009D5F79"/>
    <w:rsid w:val="00A16C13"/>
    <w:rsid w:val="00A45697"/>
    <w:rsid w:val="00A61CE1"/>
    <w:rsid w:val="00A71E75"/>
    <w:rsid w:val="00A93E97"/>
    <w:rsid w:val="00AA3A27"/>
    <w:rsid w:val="00AD141F"/>
    <w:rsid w:val="00AF5E5E"/>
    <w:rsid w:val="00B17D3C"/>
    <w:rsid w:val="00B27C9A"/>
    <w:rsid w:val="00BA2C22"/>
    <w:rsid w:val="00BE53A1"/>
    <w:rsid w:val="00C07207"/>
    <w:rsid w:val="00C12C22"/>
    <w:rsid w:val="00CB1C49"/>
    <w:rsid w:val="00D14337"/>
    <w:rsid w:val="00D64BF4"/>
    <w:rsid w:val="00D6672A"/>
    <w:rsid w:val="00DC4F22"/>
    <w:rsid w:val="00DE4813"/>
    <w:rsid w:val="00DF07A3"/>
    <w:rsid w:val="00E023CF"/>
    <w:rsid w:val="00E6300B"/>
    <w:rsid w:val="00E94BF4"/>
    <w:rsid w:val="00E97290"/>
    <w:rsid w:val="00EB69C2"/>
    <w:rsid w:val="00EE2BCF"/>
    <w:rsid w:val="00F117F8"/>
    <w:rsid w:val="00F318A1"/>
    <w:rsid w:val="00F65C8F"/>
    <w:rsid w:val="00FD5592"/>
    <w:rsid w:val="0A91472C"/>
    <w:rsid w:val="177D2BAD"/>
    <w:rsid w:val="1F627FE9"/>
    <w:rsid w:val="53A25BE1"/>
    <w:rsid w:val="5F8C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paragraph" w:customStyle="1" w:styleId="9">
    <w:name w:val="b-free-read-leaf"/>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标题 3 字符"/>
    <w:basedOn w:val="7"/>
    <w:link w:val="2"/>
    <w:qFormat/>
    <w:uiPriority w:val="9"/>
    <w:rPr>
      <w:rFonts w:ascii="宋体" w:hAnsi="宋体" w:cs="宋体"/>
      <w:b/>
      <w:bCs/>
      <w:sz w:val="27"/>
      <w:szCs w:val="27"/>
    </w:rPr>
  </w:style>
  <w:style w:type="character" w:customStyle="1" w:styleId="11">
    <w:name w:val="页眉 字符"/>
    <w:basedOn w:val="7"/>
    <w:link w:val="4"/>
    <w:uiPriority w:val="99"/>
    <w:rPr>
      <w:kern w:val="2"/>
      <w:sz w:val="18"/>
      <w:szCs w:val="18"/>
    </w:rPr>
  </w:style>
  <w:style w:type="character" w:customStyle="1" w:styleId="12">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1099</Words>
  <Characters>1132</Characters>
  <Lines>8</Lines>
  <Paragraphs>2</Paragraphs>
  <TotalTime>5</TotalTime>
  <ScaleCrop>false</ScaleCrop>
  <LinksUpToDate>false</LinksUpToDate>
  <CharactersWithSpaces>1143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2022-07-19T07:27:00Z</dcterms:created>
  <dc:creator>Administrator</dc:creator>
  <cp:lastModifiedBy>WPS_1528195194</cp:lastModifiedBy>
  <cp:lastPrinted>2022-07-19T07:54:00Z</cp:lastPrinted>
  <dcterms:modified xsi:type="dcterms:W3CDTF">2022-08-03T11:04:04Z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52D9887F191243A7AF78717B86847CB5</vt:lpwstr>
  </property>
</Properties>
</file>